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17,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Italy engages with crypto firms on regulatory safeguards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Italy’s Banca d’Italia and Consob are in talks with crypto firms to ensure compliance, as regulatory gaps widen between the EU and US.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Italy’s central bank and securities regulator are in discussions with crypto service providers to ensure adequate safeguards against financial and cybersecurity risks, according to Bank of Italy Governor Fabio Panetta.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Panetta discussed key issues related to crypto assets, digital finance and cybersecurity risks pertaining to global and European regulations at the 31st Assiom Forex Congress on Feb. 15.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According to Panetta, the crypto ecosystem is under global regulatory scrutiny due to risks including money laundering and financial stability concerns.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